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310" w:rsidRDefault="00C22310" w:rsidP="00C22310">
      <w:pPr>
        <w:ind w:left="2160" w:hanging="1440"/>
        <w:rPr>
          <w:b/>
          <w:sz w:val="20"/>
          <w:szCs w:val="20"/>
        </w:rPr>
      </w:pPr>
      <w:bookmarkStart w:id="0" w:name="_GoBack"/>
      <w:bookmarkEnd w:id="0"/>
    </w:p>
    <w:p w:rsidR="00C22310" w:rsidRDefault="00C22310" w:rsidP="00C22310">
      <w:pPr>
        <w:ind w:left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Literature 169: Freud, Kafka, and </w:t>
      </w:r>
      <w:proofErr w:type="spellStart"/>
      <w:r>
        <w:rPr>
          <w:b/>
          <w:sz w:val="20"/>
          <w:szCs w:val="20"/>
        </w:rPr>
        <w:t>Musil</w:t>
      </w:r>
      <w:proofErr w:type="spellEnd"/>
    </w:p>
    <w:p w:rsidR="00C22310" w:rsidRDefault="00C22310" w:rsidP="00C22310">
      <w:pPr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>Fall 2016</w:t>
      </w:r>
    </w:p>
    <w:p w:rsidR="00C22310" w:rsidRDefault="00C22310" w:rsidP="00C22310">
      <w:pPr>
        <w:ind w:left="720"/>
        <w:jc w:val="center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Kravis 166</w:t>
      </w:r>
    </w:p>
    <w:p w:rsidR="00C22310" w:rsidRDefault="00C22310" w:rsidP="00C22310">
      <w:pPr>
        <w:tabs>
          <w:tab w:val="left" w:pos="-720"/>
        </w:tabs>
        <w:suppressAutoHyphens/>
        <w:ind w:left="720"/>
        <w:rPr>
          <w:b/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t>John Farrell</w:t>
      </w:r>
      <w:r>
        <w:rPr>
          <w:b/>
          <w:spacing w:val="-2"/>
          <w:sz w:val="20"/>
          <w:szCs w:val="20"/>
        </w:rPr>
        <w:tab/>
      </w:r>
      <w:r>
        <w:rPr>
          <w:b/>
          <w:spacing w:val="-2"/>
          <w:sz w:val="20"/>
          <w:szCs w:val="20"/>
        </w:rPr>
        <w:tab/>
      </w:r>
      <w:r>
        <w:rPr>
          <w:b/>
          <w:spacing w:val="-2"/>
          <w:sz w:val="20"/>
          <w:szCs w:val="20"/>
        </w:rPr>
        <w:tab/>
      </w:r>
      <w:r>
        <w:rPr>
          <w:b/>
          <w:spacing w:val="-2"/>
          <w:sz w:val="20"/>
          <w:szCs w:val="20"/>
        </w:rPr>
        <w:tab/>
      </w:r>
      <w:r>
        <w:rPr>
          <w:b/>
          <w:spacing w:val="-2"/>
          <w:sz w:val="20"/>
          <w:szCs w:val="20"/>
        </w:rPr>
        <w:tab/>
      </w:r>
      <w:r>
        <w:rPr>
          <w:b/>
          <w:spacing w:val="-2"/>
          <w:sz w:val="20"/>
          <w:szCs w:val="20"/>
        </w:rPr>
        <w:tab/>
        <w:t>Office Hours:</w:t>
      </w:r>
    </w:p>
    <w:p w:rsidR="00C22310" w:rsidRDefault="00C22310" w:rsidP="00C2231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ind w:left="720" w:hanging="720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x72656</w:t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  <w:t xml:space="preserve">     jfarrell@cmc.edu          </w:t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  <w:t xml:space="preserve">       </w:t>
      </w:r>
      <w:r>
        <w:rPr>
          <w:spacing w:val="-2"/>
          <w:sz w:val="20"/>
          <w:szCs w:val="20"/>
        </w:rPr>
        <w:tab/>
        <w:t>RS 217</w:t>
      </w:r>
    </w:p>
    <w:p w:rsidR="00C22310" w:rsidRDefault="00C22310" w:rsidP="00C22310">
      <w:pPr>
        <w:pStyle w:val="EndnoteText"/>
        <w:spacing w:line="240" w:lineRule="auto"/>
        <w:ind w:left="720"/>
        <w:rPr>
          <w:rFonts w:ascii="Verdana" w:hAnsi="Verdana"/>
          <w:b/>
          <w:spacing w:val="-2"/>
          <w:sz w:val="20"/>
        </w:rPr>
      </w:pPr>
      <w:r>
        <w:rPr>
          <w:rFonts w:ascii="Verdana" w:hAnsi="Verdana"/>
          <w:spacing w:val="-2"/>
          <w:sz w:val="20"/>
        </w:rPr>
        <w:t xml:space="preserve">     </w:t>
      </w:r>
      <w:r>
        <w:rPr>
          <w:rFonts w:ascii="Verdana" w:hAnsi="Verdana"/>
          <w:spacing w:val="-2"/>
          <w:sz w:val="20"/>
          <w:u w:val="single"/>
        </w:rPr>
        <w:t>johnfarrellonline.com</w:t>
      </w:r>
      <w:r>
        <w:rPr>
          <w:rFonts w:ascii="Verdana" w:hAnsi="Verdana"/>
          <w:spacing w:val="-2"/>
          <w:sz w:val="20"/>
        </w:rPr>
        <w:tab/>
      </w:r>
      <w:r>
        <w:rPr>
          <w:rFonts w:ascii="Verdana" w:hAnsi="Verdana"/>
          <w:spacing w:val="-2"/>
          <w:sz w:val="20"/>
        </w:rPr>
        <w:tab/>
      </w:r>
      <w:r>
        <w:rPr>
          <w:rFonts w:ascii="Verdana" w:hAnsi="Verdana"/>
          <w:spacing w:val="-2"/>
          <w:sz w:val="20"/>
        </w:rPr>
        <w:tab/>
      </w:r>
      <w:r>
        <w:rPr>
          <w:rFonts w:ascii="Verdana" w:hAnsi="Verdana"/>
          <w:spacing w:val="-2"/>
          <w:sz w:val="20"/>
        </w:rPr>
        <w:tab/>
      </w:r>
      <w:r>
        <w:rPr>
          <w:rFonts w:ascii="Verdana" w:hAnsi="Verdana"/>
          <w:spacing w:val="-2"/>
          <w:sz w:val="20"/>
        </w:rPr>
        <w:tab/>
        <w:t>TR 2:45-4:00</w:t>
      </w:r>
    </w:p>
    <w:p w:rsidR="00C22310" w:rsidRDefault="00C22310" w:rsidP="00C22310">
      <w:pPr>
        <w:ind w:left="72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>&amp; by appt.</w:t>
      </w:r>
    </w:p>
    <w:p w:rsidR="00C22310" w:rsidRDefault="00C22310" w:rsidP="00C22310">
      <w:pPr>
        <w:ind w:left="2160" w:hanging="1440"/>
        <w:rPr>
          <w:b/>
          <w:sz w:val="20"/>
          <w:szCs w:val="20"/>
        </w:rPr>
      </w:pPr>
      <w:r>
        <w:rPr>
          <w:b/>
          <w:sz w:val="20"/>
          <w:szCs w:val="20"/>
        </w:rPr>
        <w:t>Required texts:</w:t>
      </w:r>
    </w:p>
    <w:p w:rsidR="00C22310" w:rsidRDefault="00C22310" w:rsidP="00C22310">
      <w:pPr>
        <w:widowControl w:val="0"/>
        <w:overflowPunct/>
        <w:ind w:left="1440" w:hanging="360"/>
        <w:rPr>
          <w:rFonts w:eastAsiaTheme="minorEastAsia" w:cs="Calibri"/>
          <w:sz w:val="20"/>
          <w:szCs w:val="20"/>
        </w:rPr>
      </w:pPr>
      <w:r>
        <w:rPr>
          <w:rFonts w:eastAsiaTheme="minorEastAsia" w:cs="Arial"/>
          <w:color w:val="191919"/>
          <w:sz w:val="20"/>
          <w:szCs w:val="20"/>
        </w:rPr>
        <w:t>Fyodor Dostoevsky,</w:t>
      </w:r>
      <w:hyperlink r:id="rId4" w:history="1">
        <w:r>
          <w:rPr>
            <w:rStyle w:val="Hyperlink"/>
            <w:rFonts w:eastAsiaTheme="minorEastAsia" w:cs="Arial"/>
            <w:color w:val="0C0D01"/>
            <w:sz w:val="20"/>
            <w:szCs w:val="20"/>
            <w:u w:color="0C0D01"/>
          </w:rPr>
          <w:t xml:space="preserve"> </w:t>
        </w:r>
      </w:hyperlink>
      <w:r>
        <w:rPr>
          <w:rFonts w:eastAsiaTheme="minorEastAsia" w:cs="Arial"/>
          <w:bCs/>
          <w:color w:val="191919"/>
          <w:sz w:val="20"/>
          <w:szCs w:val="20"/>
          <w:u w:val="single"/>
        </w:rPr>
        <w:t>Notes From Underground</w:t>
      </w:r>
      <w:r>
        <w:rPr>
          <w:rFonts w:eastAsiaTheme="minorEastAsia" w:cs="Arial"/>
          <w:color w:val="191919"/>
          <w:sz w:val="20"/>
          <w:szCs w:val="20"/>
        </w:rPr>
        <w:t xml:space="preserve">, trans. </w:t>
      </w:r>
      <w:hyperlink r:id="rId5" w:history="1">
        <w:r>
          <w:rPr>
            <w:rStyle w:val="Hyperlink"/>
            <w:rFonts w:eastAsiaTheme="minorEastAsia" w:cs="Arial"/>
            <w:color w:val="0C0D01"/>
            <w:sz w:val="20"/>
            <w:szCs w:val="20"/>
            <w:u w:color="0C0D01"/>
          </w:rPr>
          <w:t>Andrew R. MacAndrew</w:t>
        </w:r>
      </w:hyperlink>
      <w:r>
        <w:rPr>
          <w:rFonts w:eastAsiaTheme="minorEastAsia" w:cs="Arial"/>
          <w:color w:val="191919"/>
          <w:sz w:val="20"/>
          <w:szCs w:val="20"/>
        </w:rPr>
        <w:t xml:space="preserve"> (Signet; reissue edition)</w:t>
      </w:r>
      <w:r>
        <w:rPr>
          <w:rFonts w:eastAsiaTheme="minorEastAsia" w:cs="Calibri"/>
          <w:sz w:val="20"/>
          <w:szCs w:val="20"/>
        </w:rPr>
        <w:t xml:space="preserve"> </w:t>
      </w:r>
      <w:r>
        <w:rPr>
          <w:rFonts w:eastAsiaTheme="minorEastAsia" w:cs="Verdana"/>
          <w:bCs/>
          <w:color w:val="191919"/>
          <w:sz w:val="20"/>
          <w:szCs w:val="20"/>
        </w:rPr>
        <w:t>ISBN-13:</w:t>
      </w:r>
      <w:r>
        <w:rPr>
          <w:rFonts w:eastAsiaTheme="minorEastAsia" w:cs="Arial"/>
          <w:color w:val="191919"/>
          <w:sz w:val="20"/>
          <w:szCs w:val="20"/>
        </w:rPr>
        <w:t xml:space="preserve"> 978-0451529558</w:t>
      </w:r>
    </w:p>
    <w:p w:rsidR="00C22310" w:rsidRDefault="00C22310" w:rsidP="00C22310">
      <w:pPr>
        <w:shd w:val="clear" w:color="auto" w:fill="FFFFFF"/>
        <w:spacing w:line="285" w:lineRule="atLeast"/>
        <w:ind w:left="1080"/>
        <w:rPr>
          <w:rFonts w:eastAsiaTheme="minorEastAsia" w:cs="Arial"/>
          <w:color w:val="191919"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Peter Gay, ed., </w:t>
      </w:r>
      <w:r>
        <w:rPr>
          <w:rFonts w:cs="Arial"/>
          <w:bCs/>
          <w:sz w:val="20"/>
          <w:szCs w:val="20"/>
          <w:u w:val="single"/>
        </w:rPr>
        <w:t>The Freud Reader</w:t>
      </w:r>
      <w:r>
        <w:rPr>
          <w:rFonts w:cs="Arial"/>
          <w:bCs/>
          <w:sz w:val="20"/>
          <w:szCs w:val="20"/>
        </w:rPr>
        <w:t xml:space="preserve"> (Norton) ISBN-13:</w:t>
      </w:r>
      <w:r>
        <w:rPr>
          <w:rFonts w:cs="Arial"/>
          <w:sz w:val="20"/>
          <w:szCs w:val="20"/>
        </w:rPr>
        <w:t> 978-0393314038</w:t>
      </w:r>
    </w:p>
    <w:p w:rsidR="00C22310" w:rsidRDefault="00C22310" w:rsidP="00C22310">
      <w:pPr>
        <w:shd w:val="clear" w:color="auto" w:fill="FFFFFF"/>
        <w:spacing w:line="285" w:lineRule="atLeast"/>
        <w:ind w:left="1440" w:hanging="36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Henry James, </w:t>
      </w:r>
      <w:r>
        <w:rPr>
          <w:sz w:val="20"/>
          <w:szCs w:val="20"/>
          <w:u w:val="single"/>
        </w:rPr>
        <w:t>Turn of the Screw (Bedford?)</w:t>
      </w:r>
    </w:p>
    <w:p w:rsidR="00C22310" w:rsidRDefault="00C22310" w:rsidP="00C22310">
      <w:pPr>
        <w:shd w:val="clear" w:color="auto" w:fill="FFFFFF"/>
        <w:spacing w:line="285" w:lineRule="atLeast"/>
        <w:ind w:left="1440" w:hanging="36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Franz Kafka, </w:t>
      </w:r>
      <w:r>
        <w:rPr>
          <w:sz w:val="20"/>
          <w:szCs w:val="20"/>
          <w:u w:val="single"/>
        </w:rPr>
        <w:t>Letter to his Father</w:t>
      </w:r>
      <w:r>
        <w:rPr>
          <w:sz w:val="20"/>
          <w:szCs w:val="20"/>
        </w:rPr>
        <w:t>, trans. Kaiser and Wilkins (</w:t>
      </w:r>
      <w:proofErr w:type="spellStart"/>
      <w:r>
        <w:rPr>
          <w:sz w:val="20"/>
          <w:szCs w:val="20"/>
        </w:rPr>
        <w:t>Shocken</w:t>
      </w:r>
      <w:proofErr w:type="spellEnd"/>
      <w:r>
        <w:rPr>
          <w:sz w:val="20"/>
          <w:szCs w:val="20"/>
        </w:rPr>
        <w:t xml:space="preserve">) </w:t>
      </w:r>
      <w:r>
        <w:rPr>
          <w:rFonts w:cs="Verdana"/>
          <w:bCs/>
          <w:color w:val="262626"/>
          <w:sz w:val="20"/>
          <w:szCs w:val="20"/>
        </w:rPr>
        <w:t>ISBN-13:</w:t>
      </w:r>
      <w:r>
        <w:rPr>
          <w:rFonts w:cs="Arial"/>
          <w:color w:val="262626"/>
          <w:sz w:val="20"/>
          <w:szCs w:val="20"/>
        </w:rPr>
        <w:t xml:space="preserve"> 978-0805212662</w:t>
      </w:r>
    </w:p>
    <w:p w:rsidR="00C22310" w:rsidRDefault="00C22310" w:rsidP="00C22310">
      <w:pPr>
        <w:shd w:val="clear" w:color="auto" w:fill="FFFFFF"/>
        <w:spacing w:line="285" w:lineRule="atLeast"/>
        <w:ind w:left="1440" w:hanging="360"/>
        <w:rPr>
          <w:rFonts w:cs="Arial"/>
          <w:sz w:val="20"/>
          <w:szCs w:val="20"/>
        </w:rPr>
      </w:pPr>
      <w:r>
        <w:rPr>
          <w:sz w:val="20"/>
          <w:szCs w:val="20"/>
        </w:rPr>
        <w:t xml:space="preserve">Franz Kafka, </w:t>
      </w:r>
      <w:r>
        <w:rPr>
          <w:rFonts w:cs="Arial"/>
          <w:sz w:val="20"/>
          <w:szCs w:val="20"/>
          <w:u w:val="single"/>
        </w:rPr>
        <w:t>The Trial: A New Transl</w:t>
      </w:r>
      <w:r>
        <w:rPr>
          <w:rFonts w:cs="Arial"/>
          <w:bCs/>
          <w:sz w:val="20"/>
          <w:szCs w:val="20"/>
          <w:u w:val="single"/>
        </w:rPr>
        <w:t>ation Based on the Restored Text</w:t>
      </w:r>
      <w:r>
        <w:rPr>
          <w:rFonts w:cs="Arial"/>
          <w:bCs/>
          <w:sz w:val="20"/>
          <w:szCs w:val="20"/>
        </w:rPr>
        <w:t xml:space="preserve">, trans. </w:t>
      </w:r>
      <w:proofErr w:type="spellStart"/>
      <w:r>
        <w:rPr>
          <w:rFonts w:cs="Arial"/>
          <w:bCs/>
          <w:sz w:val="20"/>
          <w:szCs w:val="20"/>
        </w:rPr>
        <w:t>Breon</w:t>
      </w:r>
      <w:proofErr w:type="spellEnd"/>
      <w:r>
        <w:rPr>
          <w:rFonts w:cs="Arial"/>
          <w:bCs/>
          <w:sz w:val="20"/>
          <w:szCs w:val="20"/>
        </w:rPr>
        <w:t xml:space="preserve"> Mitchell (</w:t>
      </w:r>
      <w:proofErr w:type="spellStart"/>
      <w:r>
        <w:rPr>
          <w:rFonts w:cs="Arial"/>
          <w:bCs/>
          <w:sz w:val="20"/>
          <w:szCs w:val="20"/>
        </w:rPr>
        <w:t>Shocken</w:t>
      </w:r>
      <w:proofErr w:type="spellEnd"/>
      <w:r>
        <w:rPr>
          <w:rFonts w:cs="Arial"/>
          <w:bCs/>
          <w:sz w:val="20"/>
          <w:szCs w:val="20"/>
        </w:rPr>
        <w:t>) ASIN:</w:t>
      </w:r>
      <w:r>
        <w:rPr>
          <w:rFonts w:cs="Arial"/>
          <w:sz w:val="20"/>
          <w:szCs w:val="20"/>
        </w:rPr>
        <w:t> B00985E0VI</w:t>
      </w:r>
    </w:p>
    <w:p w:rsidR="00C22310" w:rsidRDefault="00C22310" w:rsidP="00C22310">
      <w:pPr>
        <w:pStyle w:val="Heading1"/>
        <w:shd w:val="clear" w:color="auto" w:fill="FFFFFF"/>
        <w:spacing w:before="0" w:beforeAutospacing="0" w:after="0" w:afterAutospacing="0"/>
        <w:ind w:left="1440" w:hanging="360"/>
        <w:rPr>
          <w:rFonts w:ascii="Verdana" w:hAnsi="Verdana" w:cs="Arial"/>
          <w:b w:val="0"/>
          <w:color w:val="FF6600"/>
          <w:sz w:val="20"/>
          <w:szCs w:val="20"/>
        </w:rPr>
      </w:pPr>
      <w:hyperlink r:id="rId6" w:history="1">
        <w:r w:rsidRPr="00FB724C">
          <w:rPr>
            <w:rStyle w:val="Hyperlink"/>
            <w:rFonts w:ascii="Verdana" w:hAnsi="Verdana" w:cs="Arial"/>
            <w:b w:val="0"/>
            <w:color w:val="auto"/>
            <w:sz w:val="20"/>
            <w:szCs w:val="20"/>
            <w:u w:val="none"/>
          </w:rPr>
          <w:t>Franz Kafka</w:t>
        </w:r>
      </w:hyperlink>
      <w:r w:rsidRPr="00FB724C">
        <w:rPr>
          <w:rFonts w:ascii="Verdana" w:hAnsi="Verdana" w:cs="Arial"/>
          <w:b w:val="0"/>
          <w:sz w:val="20"/>
          <w:szCs w:val="20"/>
        </w:rPr>
        <w:t>,</w:t>
      </w:r>
      <w:r>
        <w:rPr>
          <w:rFonts w:ascii="Verdana" w:hAnsi="Verdana" w:cs="Arial"/>
          <w:b w:val="0"/>
          <w:sz w:val="20"/>
          <w:szCs w:val="20"/>
        </w:rPr>
        <w:t xml:space="preserve"> </w:t>
      </w:r>
      <w:r>
        <w:rPr>
          <w:rStyle w:val="a-size-large"/>
          <w:rFonts w:ascii="Verdana" w:hAnsi="Verdana" w:cs="Arial"/>
          <w:b w:val="0"/>
          <w:color w:val="111111"/>
          <w:sz w:val="20"/>
          <w:szCs w:val="20"/>
          <w:u w:val="single"/>
        </w:rPr>
        <w:t>Metamorphosis and Other Stories</w:t>
      </w:r>
      <w:r>
        <w:rPr>
          <w:rStyle w:val="a-size-large"/>
          <w:rFonts w:ascii="Verdana" w:hAnsi="Verdana" w:cs="Arial"/>
          <w:b w:val="0"/>
          <w:color w:val="111111"/>
          <w:sz w:val="20"/>
          <w:szCs w:val="20"/>
        </w:rPr>
        <w:t>, trans. Michael Hoffmann (Penguin Classics Deluxe Edition)</w:t>
      </w:r>
      <w:r>
        <w:rPr>
          <w:rStyle w:val="apple-converted-space"/>
          <w:rFonts w:ascii="Verdana" w:hAnsi="Verdana" w:cs="Arial"/>
          <w:b w:val="0"/>
          <w:color w:val="111111"/>
          <w:sz w:val="20"/>
          <w:szCs w:val="20"/>
        </w:rPr>
        <w:t xml:space="preserve">  </w:t>
      </w:r>
      <w:r>
        <w:rPr>
          <w:rFonts w:ascii="Verdana" w:hAnsi="Verdana" w:cs="Arial"/>
          <w:b w:val="0"/>
          <w:bCs w:val="0"/>
          <w:sz w:val="20"/>
          <w:szCs w:val="20"/>
        </w:rPr>
        <w:t>ISBN-13:</w:t>
      </w:r>
      <w:r>
        <w:rPr>
          <w:rFonts w:ascii="Verdana" w:hAnsi="Verdana" w:cs="Arial"/>
          <w:b w:val="0"/>
          <w:sz w:val="20"/>
          <w:szCs w:val="20"/>
        </w:rPr>
        <w:t xml:space="preserve"> 978-0143105244 </w:t>
      </w:r>
    </w:p>
    <w:p w:rsidR="00C22310" w:rsidRDefault="00C22310" w:rsidP="00C22310">
      <w:pPr>
        <w:pStyle w:val="Heading1"/>
        <w:shd w:val="clear" w:color="auto" w:fill="FFFFFF"/>
        <w:spacing w:before="0" w:beforeAutospacing="0" w:after="0" w:afterAutospacing="0"/>
        <w:ind w:left="1440" w:hanging="360"/>
        <w:rPr>
          <w:rFonts w:ascii="Verdana" w:eastAsiaTheme="minorEastAsia" w:hAnsi="Verdana"/>
          <w:sz w:val="20"/>
          <w:szCs w:val="20"/>
        </w:rPr>
      </w:pPr>
      <w:proofErr w:type="spellStart"/>
      <w:r>
        <w:rPr>
          <w:rFonts w:ascii="Verdana" w:hAnsi="Verdana" w:cs="Arial"/>
          <w:b w:val="0"/>
          <w:sz w:val="20"/>
          <w:szCs w:val="20"/>
        </w:rPr>
        <w:t>Musil</w:t>
      </w:r>
      <w:proofErr w:type="spellEnd"/>
      <w:r>
        <w:rPr>
          <w:rFonts w:ascii="Verdana" w:hAnsi="Verdana" w:cs="Arial"/>
          <w:b w:val="0"/>
          <w:sz w:val="20"/>
          <w:szCs w:val="20"/>
        </w:rPr>
        <w:t xml:space="preserve">, </w:t>
      </w:r>
      <w:r>
        <w:rPr>
          <w:rFonts w:ascii="Verdana" w:eastAsiaTheme="minorEastAsia" w:hAnsi="Verdana"/>
          <w:b w:val="0"/>
          <w:sz w:val="20"/>
          <w:szCs w:val="20"/>
          <w:u w:val="single"/>
        </w:rPr>
        <w:t>The Man Without Qualities</w:t>
      </w:r>
      <w:r>
        <w:rPr>
          <w:rFonts w:ascii="Verdana" w:eastAsiaTheme="minorEastAsia" w:hAnsi="Verdana"/>
          <w:b w:val="0"/>
          <w:sz w:val="20"/>
          <w:szCs w:val="20"/>
        </w:rPr>
        <w:t xml:space="preserve">, vol. 1, trans. Sophie Wilkins &amp; </w:t>
      </w:r>
      <w:r>
        <w:rPr>
          <w:rFonts w:ascii="Verdana" w:hAnsi="Verdana" w:cs="Arial"/>
          <w:b w:val="0"/>
          <w:sz w:val="20"/>
          <w:szCs w:val="20"/>
        </w:rPr>
        <w:t>Robert</w:t>
      </w:r>
      <w:r>
        <w:rPr>
          <w:rFonts w:ascii="Verdana" w:eastAsiaTheme="minorEastAsia" w:hAnsi="Verdana"/>
          <w:b w:val="0"/>
          <w:sz w:val="20"/>
          <w:szCs w:val="20"/>
        </w:rPr>
        <w:t xml:space="preserve"> Burton Pike </w:t>
      </w:r>
      <w:r>
        <w:rPr>
          <w:rFonts w:ascii="Verdana" w:eastAsiaTheme="minorEastAsia" w:hAnsi="Verdana" w:cs="Arial"/>
          <w:b w:val="0"/>
          <w:bCs w:val="0"/>
          <w:color w:val="333333"/>
          <w:sz w:val="20"/>
          <w:szCs w:val="20"/>
        </w:rPr>
        <w:t>ISBN-13:</w:t>
      </w:r>
      <w:r>
        <w:rPr>
          <w:rFonts w:ascii="Verdana" w:eastAsiaTheme="minorEastAsia" w:hAnsi="Verdana" w:cs="Arial"/>
          <w:b w:val="0"/>
          <w:color w:val="333333"/>
          <w:sz w:val="20"/>
          <w:szCs w:val="20"/>
        </w:rPr>
        <w:t> 978-0679767879</w:t>
      </w:r>
      <w:r>
        <w:rPr>
          <w:rFonts w:ascii="Verdana" w:eastAsiaTheme="minorEastAsia" w:hAnsi="Verdana"/>
          <w:sz w:val="20"/>
          <w:szCs w:val="20"/>
        </w:rPr>
        <w:t xml:space="preserve"> </w:t>
      </w:r>
    </w:p>
    <w:p w:rsidR="00C22310" w:rsidRDefault="00C22310" w:rsidP="00C22310">
      <w:pPr>
        <w:pStyle w:val="Heading1"/>
        <w:shd w:val="clear" w:color="auto" w:fill="FFFFFF"/>
        <w:spacing w:before="0" w:beforeAutospacing="0" w:after="0" w:afterAutospacing="0"/>
        <w:ind w:left="1440" w:hanging="360"/>
        <w:rPr>
          <w:rFonts w:ascii="Verdana" w:eastAsiaTheme="minorEastAsia" w:hAnsi="Verdana" w:cs="Arial"/>
          <w:b w:val="0"/>
          <w:color w:val="191919"/>
          <w:sz w:val="20"/>
          <w:szCs w:val="20"/>
        </w:rPr>
      </w:pPr>
      <w:r>
        <w:rPr>
          <w:rFonts w:ascii="Verdana" w:eastAsiaTheme="minorEastAsia" w:hAnsi="Verdana" w:cs="Arial"/>
          <w:b w:val="0"/>
          <w:color w:val="333333"/>
          <w:sz w:val="20"/>
          <w:szCs w:val="20"/>
        </w:rPr>
        <w:t>Friedrich Nietzsche</w:t>
      </w:r>
      <w:r>
        <w:rPr>
          <w:rFonts w:ascii="Verdana" w:eastAsiaTheme="minorEastAsia" w:hAnsi="Verdana"/>
          <w:b w:val="0"/>
          <w:sz w:val="20"/>
          <w:szCs w:val="20"/>
        </w:rPr>
        <w:t xml:space="preserve">, </w:t>
      </w:r>
      <w:r>
        <w:rPr>
          <w:rFonts w:ascii="Verdana" w:eastAsiaTheme="minorEastAsia" w:hAnsi="Verdana" w:cs="Arial"/>
          <w:b w:val="0"/>
          <w:bCs w:val="0"/>
          <w:color w:val="191919"/>
          <w:sz w:val="20"/>
          <w:szCs w:val="20"/>
          <w:u w:val="single"/>
        </w:rPr>
        <w:t>On the Genealogy of Morals and Ecce Homo</w:t>
      </w:r>
      <w:r>
        <w:rPr>
          <w:rFonts w:ascii="Verdana" w:eastAsiaTheme="minorEastAsia" w:hAnsi="Verdana" w:cs="Arial"/>
          <w:b w:val="0"/>
          <w:bCs w:val="0"/>
          <w:color w:val="191919"/>
          <w:sz w:val="20"/>
          <w:szCs w:val="20"/>
        </w:rPr>
        <w:t xml:space="preserve"> </w:t>
      </w:r>
      <w:r>
        <w:rPr>
          <w:rFonts w:ascii="Verdana" w:eastAsiaTheme="minorEastAsia" w:hAnsi="Verdana" w:cs="Arial"/>
          <w:b w:val="0"/>
          <w:color w:val="0C0D01"/>
          <w:sz w:val="20"/>
          <w:szCs w:val="20"/>
        </w:rPr>
        <w:t>(</w:t>
      </w:r>
      <w:r>
        <w:rPr>
          <w:rFonts w:ascii="Verdana" w:eastAsiaTheme="minorEastAsia" w:hAnsi="Verdana" w:cs="Arial"/>
          <w:b w:val="0"/>
          <w:color w:val="191919"/>
          <w:sz w:val="20"/>
          <w:szCs w:val="20"/>
        </w:rPr>
        <w:t xml:space="preserve">Vintage; reissue edition) </w:t>
      </w:r>
      <w:r>
        <w:rPr>
          <w:rFonts w:ascii="Verdana" w:eastAsiaTheme="minorEastAsia" w:hAnsi="Verdana" w:cs="Verdana"/>
          <w:b w:val="0"/>
          <w:bCs w:val="0"/>
          <w:color w:val="191919"/>
          <w:sz w:val="20"/>
          <w:szCs w:val="20"/>
        </w:rPr>
        <w:t>ISBN-13:</w:t>
      </w:r>
      <w:r>
        <w:rPr>
          <w:rFonts w:ascii="Verdana" w:eastAsiaTheme="minorEastAsia" w:hAnsi="Verdana" w:cs="Arial"/>
          <w:b w:val="0"/>
          <w:color w:val="191919"/>
          <w:sz w:val="20"/>
          <w:szCs w:val="20"/>
        </w:rPr>
        <w:t xml:space="preserve"> 978-0679724629</w:t>
      </w:r>
    </w:p>
    <w:p w:rsidR="00C22310" w:rsidRDefault="00C22310" w:rsidP="00C22310">
      <w:pPr>
        <w:pStyle w:val="Heading1"/>
        <w:shd w:val="clear" w:color="auto" w:fill="FFFFFF"/>
        <w:spacing w:before="0" w:beforeAutospacing="0" w:after="0" w:afterAutospacing="0"/>
        <w:ind w:left="1440" w:hanging="360"/>
        <w:rPr>
          <w:rFonts w:ascii="Verdana" w:eastAsiaTheme="minorEastAsia" w:hAnsi="Verdana" w:cs="Arial"/>
          <w:b w:val="0"/>
          <w:color w:val="191919"/>
          <w:sz w:val="20"/>
          <w:szCs w:val="20"/>
        </w:rPr>
      </w:pPr>
    </w:p>
    <w:p w:rsidR="00C22310" w:rsidRDefault="00C22310" w:rsidP="00C22310">
      <w:pPr>
        <w:widowControl w:val="0"/>
        <w:overflowPunct/>
        <w:ind w:firstLine="720"/>
        <w:rPr>
          <w:rFonts w:cs="Arial"/>
          <w:b/>
          <w:color w:val="333333"/>
          <w:sz w:val="20"/>
          <w:szCs w:val="20"/>
        </w:rPr>
      </w:pPr>
      <w:r>
        <w:rPr>
          <w:rFonts w:cs="Arial"/>
          <w:b/>
          <w:color w:val="333333"/>
          <w:sz w:val="20"/>
          <w:szCs w:val="20"/>
        </w:rPr>
        <w:t xml:space="preserve">On Sakai: </w:t>
      </w:r>
    </w:p>
    <w:p w:rsidR="00C22310" w:rsidRDefault="00C22310" w:rsidP="00C22310">
      <w:pPr>
        <w:widowControl w:val="0"/>
        <w:overflowPunct/>
        <w:ind w:left="720" w:firstLine="720"/>
        <w:rPr>
          <w:rFonts w:eastAsiaTheme="minorEastAsia" w:cs="Arial"/>
          <w:color w:val="191919"/>
          <w:sz w:val="20"/>
          <w:szCs w:val="20"/>
        </w:rPr>
      </w:pPr>
      <w:r>
        <w:rPr>
          <w:rFonts w:eastAsiaTheme="minorEastAsia" w:cs="Arial"/>
          <w:color w:val="191919"/>
          <w:sz w:val="20"/>
          <w:szCs w:val="20"/>
        </w:rPr>
        <w:t>W. H. Auden, “Spain”</w:t>
      </w:r>
    </w:p>
    <w:p w:rsidR="00C22310" w:rsidRDefault="00C22310" w:rsidP="00C22310">
      <w:pPr>
        <w:widowControl w:val="0"/>
        <w:overflowPunct/>
        <w:ind w:left="720" w:firstLine="720"/>
        <w:rPr>
          <w:rFonts w:eastAsiaTheme="minorEastAsia" w:cs="Arial"/>
          <w:color w:val="191919"/>
          <w:sz w:val="20"/>
          <w:szCs w:val="20"/>
        </w:rPr>
      </w:pPr>
      <w:r>
        <w:rPr>
          <w:rFonts w:eastAsiaTheme="minorEastAsia" w:cs="Arial"/>
          <w:color w:val="191919"/>
          <w:sz w:val="20"/>
          <w:szCs w:val="20"/>
        </w:rPr>
        <w:t>Jorge Luis Borges, “Kafka and His Precursors,” trans. James Irby</w:t>
      </w:r>
    </w:p>
    <w:p w:rsidR="00C22310" w:rsidRDefault="00C22310" w:rsidP="00C22310">
      <w:pPr>
        <w:ind w:left="1440"/>
        <w:rPr>
          <w:sz w:val="20"/>
          <w:szCs w:val="20"/>
        </w:rPr>
      </w:pPr>
      <w:r>
        <w:rPr>
          <w:sz w:val="20"/>
          <w:szCs w:val="20"/>
        </w:rPr>
        <w:t>---, “Borges and I”</w:t>
      </w:r>
    </w:p>
    <w:p w:rsidR="00C22310" w:rsidRDefault="00C22310" w:rsidP="00C22310">
      <w:pPr>
        <w:ind w:left="1440"/>
        <w:rPr>
          <w:sz w:val="20"/>
          <w:szCs w:val="20"/>
        </w:rPr>
      </w:pPr>
      <w:r>
        <w:rPr>
          <w:sz w:val="20"/>
          <w:szCs w:val="20"/>
        </w:rPr>
        <w:t>“Library of Babel”</w:t>
      </w:r>
    </w:p>
    <w:p w:rsidR="00C22310" w:rsidRDefault="00C22310" w:rsidP="00C22310">
      <w:p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John Farrell, </w:t>
      </w:r>
      <w:r>
        <w:rPr>
          <w:sz w:val="20"/>
          <w:szCs w:val="20"/>
          <w:u w:val="single"/>
        </w:rPr>
        <w:t>Freud’s Paranoid Quest</w:t>
      </w:r>
      <w:r>
        <w:rPr>
          <w:sz w:val="20"/>
          <w:szCs w:val="20"/>
        </w:rPr>
        <w:t>, chapter one</w:t>
      </w:r>
    </w:p>
    <w:p w:rsidR="00C22310" w:rsidRDefault="00C22310" w:rsidP="00C22310">
      <w:pPr>
        <w:ind w:left="1440"/>
        <w:rPr>
          <w:sz w:val="20"/>
          <w:szCs w:val="20"/>
        </w:rPr>
      </w:pPr>
      <w:r>
        <w:rPr>
          <w:sz w:val="20"/>
          <w:szCs w:val="20"/>
        </w:rPr>
        <w:t>Add reading about the Rome neurosis?</w:t>
      </w:r>
    </w:p>
    <w:p w:rsidR="00C22310" w:rsidRDefault="00C22310" w:rsidP="00C22310">
      <w:pPr>
        <w:ind w:left="1440"/>
        <w:rPr>
          <w:sz w:val="20"/>
          <w:szCs w:val="20"/>
        </w:rPr>
      </w:pPr>
      <w:r>
        <w:rPr>
          <w:sz w:val="20"/>
          <w:szCs w:val="20"/>
        </w:rPr>
        <w:t>Sigmund Freud, “</w:t>
      </w:r>
      <w:r>
        <w:rPr>
          <w:bCs/>
          <w:sz w:val="20"/>
          <w:szCs w:val="20"/>
        </w:rPr>
        <w:t>Forgetting of Foreign Words,” t</w:t>
      </w:r>
      <w:r>
        <w:rPr>
          <w:sz w:val="20"/>
          <w:szCs w:val="20"/>
        </w:rPr>
        <w:t>rans. A. A. Brill</w:t>
      </w:r>
    </w:p>
    <w:p w:rsidR="00C22310" w:rsidRDefault="00C22310" w:rsidP="00C22310">
      <w:pPr>
        <w:ind w:left="2160" w:hanging="720"/>
        <w:rPr>
          <w:sz w:val="20"/>
          <w:szCs w:val="20"/>
        </w:rPr>
      </w:pPr>
      <w:r>
        <w:rPr>
          <w:sz w:val="20"/>
          <w:szCs w:val="20"/>
        </w:rPr>
        <w:t xml:space="preserve">Franz Kafka, “On Parables,” “The Great Wall of China,” “A Report to an Academy,” “First Sorrow” </w:t>
      </w:r>
    </w:p>
    <w:p w:rsidR="00C22310" w:rsidRDefault="00C22310" w:rsidP="00C22310">
      <w:pPr>
        <w:ind w:left="1440"/>
        <w:rPr>
          <w:sz w:val="20"/>
          <w:szCs w:val="20"/>
        </w:rPr>
      </w:pPr>
      <w:r>
        <w:rPr>
          <w:sz w:val="20"/>
          <w:szCs w:val="20"/>
        </w:rPr>
        <w:t>Friedrich Nietzsche, “On Truth and Lie in an Extra-Moral Sense”</w:t>
      </w:r>
    </w:p>
    <w:p w:rsidR="00C22310" w:rsidRDefault="00C22310" w:rsidP="00C22310">
      <w:pPr>
        <w:ind w:firstLine="72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Exchange </w:t>
      </w:r>
      <w:proofErr w:type="spellStart"/>
      <w:r>
        <w:rPr>
          <w:bCs/>
          <w:sz w:val="20"/>
          <w:szCs w:val="20"/>
        </w:rPr>
        <w:t>Torless</w:t>
      </w:r>
      <w:proofErr w:type="spellEnd"/>
      <w:r>
        <w:rPr>
          <w:bCs/>
          <w:sz w:val="20"/>
          <w:szCs w:val="20"/>
        </w:rPr>
        <w:t xml:space="preserve"> for MWQ add “Heart of Darkness”?</w:t>
      </w:r>
    </w:p>
    <w:p w:rsidR="00C22310" w:rsidRDefault="00C22310" w:rsidP="00C22310">
      <w:pPr>
        <w:ind w:firstLine="720"/>
        <w:rPr>
          <w:b/>
          <w:bCs/>
          <w:sz w:val="20"/>
          <w:szCs w:val="20"/>
        </w:rPr>
      </w:pPr>
    </w:p>
    <w:p w:rsidR="00C22310" w:rsidRDefault="00C22310" w:rsidP="00C22310">
      <w:pPr>
        <w:ind w:firstLine="72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On Farrell website: </w:t>
      </w:r>
      <w:r>
        <w:rPr>
          <w:bCs/>
          <w:sz w:val="20"/>
          <w:szCs w:val="20"/>
        </w:rPr>
        <w:t>(</w:t>
      </w:r>
      <w:r>
        <w:rPr>
          <w:bCs/>
          <w:sz w:val="20"/>
          <w:szCs w:val="20"/>
          <w:u w:val="single"/>
        </w:rPr>
        <w:t>johnfarrellonline.com</w:t>
      </w:r>
      <w:r>
        <w:rPr>
          <w:bCs/>
          <w:sz w:val="20"/>
          <w:szCs w:val="20"/>
        </w:rPr>
        <w:t>)</w:t>
      </w:r>
    </w:p>
    <w:p w:rsidR="00C22310" w:rsidRDefault="00C22310" w:rsidP="00C22310">
      <w:pPr>
        <w:ind w:left="720" w:firstLine="720"/>
        <w:rPr>
          <w:bCs/>
          <w:sz w:val="20"/>
          <w:szCs w:val="20"/>
        </w:rPr>
      </w:pPr>
      <w:r>
        <w:rPr>
          <w:bCs/>
          <w:sz w:val="20"/>
          <w:szCs w:val="20"/>
        </w:rPr>
        <w:t>“Technical Aspects of Writing” (including plagiarism statement)</w:t>
      </w:r>
    </w:p>
    <w:p w:rsidR="00C22310" w:rsidRDefault="00C22310" w:rsidP="00C22310">
      <w:pPr>
        <w:ind w:left="2160" w:hanging="720"/>
        <w:rPr>
          <w:bCs/>
          <w:sz w:val="20"/>
          <w:szCs w:val="20"/>
        </w:rPr>
      </w:pPr>
      <w:r>
        <w:rPr>
          <w:bCs/>
          <w:sz w:val="20"/>
          <w:szCs w:val="20"/>
        </w:rPr>
        <w:t>“Thirteen Steps toward a Successful Literary Analysis” and other resources for students</w:t>
      </w:r>
    </w:p>
    <w:p w:rsidR="00C22310" w:rsidRDefault="00C22310" w:rsidP="00C22310">
      <w:pPr>
        <w:ind w:firstLine="720"/>
        <w:rPr>
          <w:bCs/>
          <w:sz w:val="20"/>
          <w:szCs w:val="20"/>
        </w:rPr>
      </w:pPr>
    </w:p>
    <w:p w:rsidR="00C22310" w:rsidRDefault="00C22310" w:rsidP="00C22310">
      <w:pPr>
        <w:ind w:left="2160" w:hanging="14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Meetings (no electronics please!): </w:t>
      </w:r>
      <w:r>
        <w:rPr>
          <w:sz w:val="20"/>
          <w:szCs w:val="20"/>
        </w:rPr>
        <w:t>Aug 30: Introduction</w:t>
      </w:r>
    </w:p>
    <w:p w:rsidR="00C22310" w:rsidRDefault="00C22310" w:rsidP="00C22310">
      <w:pPr>
        <w:rPr>
          <w:b/>
          <w:sz w:val="20"/>
          <w:szCs w:val="20"/>
        </w:rPr>
      </w:pPr>
    </w:p>
    <w:p w:rsidR="00C22310" w:rsidRDefault="00C22310" w:rsidP="00C22310">
      <w:pPr>
        <w:ind w:left="2160" w:hanging="14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Precursors</w:t>
      </w:r>
    </w:p>
    <w:p w:rsidR="00C22310" w:rsidRDefault="00C22310" w:rsidP="00C22310">
      <w:pPr>
        <w:ind w:left="2160" w:hanging="1440"/>
        <w:jc w:val="center"/>
        <w:rPr>
          <w:b/>
          <w:sz w:val="20"/>
          <w:szCs w:val="20"/>
        </w:rPr>
      </w:pPr>
    </w:p>
    <w:p w:rsidR="00C22310" w:rsidRDefault="00C22310" w:rsidP="00C22310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Sept 1 &amp; 6: Dostoevsky, </w:t>
      </w:r>
      <w:r>
        <w:rPr>
          <w:sz w:val="20"/>
          <w:szCs w:val="20"/>
          <w:u w:val="single"/>
        </w:rPr>
        <w:t>Notes from Underground</w:t>
      </w:r>
    </w:p>
    <w:p w:rsidR="00C22310" w:rsidRDefault="00C22310" w:rsidP="00C22310">
      <w:pPr>
        <w:rPr>
          <w:sz w:val="20"/>
          <w:szCs w:val="20"/>
        </w:rPr>
      </w:pPr>
    </w:p>
    <w:p w:rsidR="00C22310" w:rsidRDefault="00C22310" w:rsidP="00C22310">
      <w:pPr>
        <w:ind w:left="2880" w:hanging="2160"/>
        <w:rPr>
          <w:sz w:val="20"/>
          <w:szCs w:val="20"/>
        </w:rPr>
      </w:pPr>
      <w:r>
        <w:rPr>
          <w:sz w:val="20"/>
          <w:szCs w:val="20"/>
        </w:rPr>
        <w:t xml:space="preserve">Sept 8 &amp; 13: Nietzsche, “On Truth and Lie” &amp; </w:t>
      </w:r>
      <w:r>
        <w:rPr>
          <w:sz w:val="20"/>
          <w:szCs w:val="20"/>
          <w:u w:val="single"/>
        </w:rPr>
        <w:t>The Genealogy of Morals</w:t>
      </w:r>
      <w:r>
        <w:rPr>
          <w:sz w:val="20"/>
          <w:szCs w:val="20"/>
        </w:rPr>
        <w:t xml:space="preserve"> </w:t>
      </w:r>
    </w:p>
    <w:p w:rsidR="00C22310" w:rsidRDefault="00C22310" w:rsidP="00C22310">
      <w:pPr>
        <w:ind w:left="2160" w:hanging="1440"/>
        <w:rPr>
          <w:sz w:val="20"/>
          <w:szCs w:val="20"/>
        </w:rPr>
      </w:pPr>
    </w:p>
    <w:p w:rsidR="00C22310" w:rsidRDefault="00C22310" w:rsidP="00C22310">
      <w:pPr>
        <w:ind w:left="2160" w:hanging="14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Freud </w:t>
      </w:r>
    </w:p>
    <w:p w:rsidR="00C22310" w:rsidRDefault="00C22310" w:rsidP="00C22310">
      <w:pPr>
        <w:ind w:left="2160" w:hanging="1440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(From </w:t>
      </w:r>
      <w:r>
        <w:rPr>
          <w:sz w:val="20"/>
          <w:szCs w:val="20"/>
          <w:u w:val="single"/>
        </w:rPr>
        <w:t>The Freud Reader</w:t>
      </w:r>
      <w:r>
        <w:rPr>
          <w:sz w:val="20"/>
          <w:szCs w:val="20"/>
        </w:rPr>
        <w:t xml:space="preserve"> unless stated otherwise)</w:t>
      </w:r>
    </w:p>
    <w:p w:rsidR="00C22310" w:rsidRDefault="00C22310" w:rsidP="00C22310">
      <w:pPr>
        <w:ind w:left="2160" w:hanging="1440"/>
        <w:rPr>
          <w:sz w:val="20"/>
          <w:szCs w:val="20"/>
        </w:rPr>
      </w:pPr>
    </w:p>
    <w:p w:rsidR="00C22310" w:rsidRDefault="00C22310" w:rsidP="00C22310">
      <w:pPr>
        <w:ind w:left="2160" w:hanging="1440"/>
        <w:rPr>
          <w:sz w:val="20"/>
          <w:szCs w:val="20"/>
        </w:rPr>
      </w:pPr>
      <w:r>
        <w:rPr>
          <w:sz w:val="20"/>
          <w:szCs w:val="20"/>
        </w:rPr>
        <w:t xml:space="preserve">Sept 15: From </w:t>
      </w:r>
      <w:r>
        <w:rPr>
          <w:sz w:val="20"/>
          <w:szCs w:val="20"/>
          <w:u w:val="single"/>
        </w:rPr>
        <w:t>An Autobiographical Study</w:t>
      </w:r>
      <w:r>
        <w:rPr>
          <w:sz w:val="20"/>
          <w:szCs w:val="20"/>
        </w:rPr>
        <w:t xml:space="preserve">, 3-44 </w:t>
      </w:r>
    </w:p>
    <w:p w:rsidR="00C22310" w:rsidRDefault="00C22310" w:rsidP="00C22310">
      <w:pPr>
        <w:ind w:firstLine="720"/>
        <w:rPr>
          <w:sz w:val="20"/>
          <w:szCs w:val="20"/>
        </w:rPr>
      </w:pPr>
      <w:r>
        <w:rPr>
          <w:sz w:val="20"/>
          <w:szCs w:val="20"/>
        </w:rPr>
        <w:tab/>
        <w:t xml:space="preserve">   Joseph Breuer, “Anna O.,” 60-77</w:t>
      </w:r>
    </w:p>
    <w:p w:rsidR="00C22310" w:rsidRDefault="00C22310" w:rsidP="00C22310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   Freud, </w:t>
      </w:r>
      <w:r>
        <w:rPr>
          <w:sz w:val="20"/>
          <w:szCs w:val="20"/>
          <w:u w:val="single"/>
        </w:rPr>
        <w:t xml:space="preserve">The </w:t>
      </w:r>
      <w:proofErr w:type="spellStart"/>
      <w:r>
        <w:rPr>
          <w:sz w:val="20"/>
          <w:szCs w:val="20"/>
          <w:u w:val="single"/>
        </w:rPr>
        <w:t>Aetiology</w:t>
      </w:r>
      <w:proofErr w:type="spellEnd"/>
      <w:r>
        <w:rPr>
          <w:sz w:val="20"/>
          <w:szCs w:val="20"/>
          <w:u w:val="single"/>
        </w:rPr>
        <w:t xml:space="preserve"> of Hysteria</w:t>
      </w:r>
      <w:r>
        <w:rPr>
          <w:sz w:val="20"/>
          <w:szCs w:val="20"/>
        </w:rPr>
        <w:t>, 96-110</w:t>
      </w:r>
    </w:p>
    <w:p w:rsidR="00C22310" w:rsidRDefault="00C22310" w:rsidP="00C22310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   Letters to </w:t>
      </w:r>
      <w:proofErr w:type="spellStart"/>
      <w:r>
        <w:rPr>
          <w:sz w:val="20"/>
          <w:szCs w:val="20"/>
        </w:rPr>
        <w:t>Fliess</w:t>
      </w:r>
      <w:proofErr w:type="spellEnd"/>
      <w:r>
        <w:rPr>
          <w:sz w:val="20"/>
          <w:szCs w:val="20"/>
        </w:rPr>
        <w:t>, 111-16</w:t>
      </w:r>
    </w:p>
    <w:p w:rsidR="00C22310" w:rsidRDefault="00C22310" w:rsidP="00C22310">
      <w:pPr>
        <w:ind w:firstLine="720"/>
        <w:rPr>
          <w:sz w:val="20"/>
          <w:szCs w:val="20"/>
        </w:rPr>
      </w:pPr>
    </w:p>
    <w:p w:rsidR="00C22310" w:rsidRDefault="00C22310" w:rsidP="00C22310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Sept 20: From </w:t>
      </w:r>
      <w:r>
        <w:rPr>
          <w:sz w:val="20"/>
          <w:szCs w:val="20"/>
          <w:u w:val="single"/>
        </w:rPr>
        <w:t>The Interpretation of Dreams</w:t>
      </w:r>
      <w:r>
        <w:rPr>
          <w:sz w:val="20"/>
          <w:szCs w:val="20"/>
        </w:rPr>
        <w:t>, 129-41</w:t>
      </w:r>
    </w:p>
    <w:p w:rsidR="00C22310" w:rsidRDefault="00C22310" w:rsidP="00C22310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   “On Dreams,” 142-171</w:t>
      </w:r>
    </w:p>
    <w:p w:rsidR="00C22310" w:rsidRDefault="00C22310" w:rsidP="00C22310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   “Fragment of an Analysis of a Case of Hysteria (“Dora”),” 172-238</w:t>
      </w:r>
    </w:p>
    <w:p w:rsidR="00C22310" w:rsidRDefault="00C22310" w:rsidP="00C22310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   “Observations on Transference-Love,” 378-86</w:t>
      </w:r>
    </w:p>
    <w:p w:rsidR="00C22310" w:rsidRDefault="00C22310" w:rsidP="00C22310">
      <w:pPr>
        <w:rPr>
          <w:sz w:val="20"/>
          <w:szCs w:val="20"/>
        </w:rPr>
      </w:pPr>
    </w:p>
    <w:p w:rsidR="00C22310" w:rsidRDefault="00C22310" w:rsidP="00C22310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Sept 22: “Character and Anal </w:t>
      </w:r>
      <w:proofErr w:type="spellStart"/>
      <w:r>
        <w:rPr>
          <w:sz w:val="20"/>
          <w:szCs w:val="20"/>
        </w:rPr>
        <w:t>Erotism</w:t>
      </w:r>
      <w:proofErr w:type="spellEnd"/>
      <w:r>
        <w:rPr>
          <w:sz w:val="20"/>
          <w:szCs w:val="20"/>
        </w:rPr>
        <w:t>,” 293-96</w:t>
      </w:r>
    </w:p>
    <w:p w:rsidR="00C22310" w:rsidRDefault="00C22310" w:rsidP="00C22310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   “Family Romances,” 297-300</w:t>
      </w:r>
    </w:p>
    <w:p w:rsidR="00C22310" w:rsidRDefault="00C22310" w:rsidP="00C22310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   “Formulations on the Two Principles of Mental Functioning,” 301-306</w:t>
      </w:r>
    </w:p>
    <w:p w:rsidR="00C22310" w:rsidRDefault="00C22310" w:rsidP="00C22310">
      <w:pPr>
        <w:ind w:left="2160" w:hanging="720"/>
        <w:rPr>
          <w:sz w:val="20"/>
          <w:szCs w:val="20"/>
        </w:rPr>
      </w:pPr>
      <w:r>
        <w:rPr>
          <w:sz w:val="20"/>
          <w:szCs w:val="20"/>
        </w:rPr>
        <w:t xml:space="preserve">   “On the Universal Tendency to Debasement in the Sphere of Love,” 394-400</w:t>
      </w:r>
    </w:p>
    <w:p w:rsidR="00C22310" w:rsidRDefault="00C22310" w:rsidP="00C22310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``“Obsessive Actions and Religious Practices,” 429-35</w:t>
      </w:r>
    </w:p>
    <w:p w:rsidR="00C22310" w:rsidRDefault="00C22310" w:rsidP="00C22310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   “Creative Writers and Day-Dreaming,” 436-42</w:t>
      </w:r>
    </w:p>
    <w:p w:rsidR="00C22310" w:rsidRDefault="00C22310" w:rsidP="00C22310">
      <w:p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Farrell, chapter one of </w:t>
      </w:r>
      <w:r>
        <w:rPr>
          <w:sz w:val="20"/>
          <w:szCs w:val="20"/>
          <w:u w:val="single"/>
        </w:rPr>
        <w:t>Freud’s Paranoid Quest</w:t>
      </w:r>
      <w:r>
        <w:rPr>
          <w:sz w:val="20"/>
          <w:szCs w:val="20"/>
        </w:rPr>
        <w:t xml:space="preserve"> (Sakai)</w:t>
      </w:r>
    </w:p>
    <w:p w:rsidR="00C22310" w:rsidRDefault="00C22310" w:rsidP="00C22310">
      <w:pPr>
        <w:ind w:firstLine="720"/>
        <w:rPr>
          <w:sz w:val="20"/>
          <w:szCs w:val="20"/>
        </w:rPr>
      </w:pPr>
    </w:p>
    <w:p w:rsidR="00C22310" w:rsidRDefault="00C22310" w:rsidP="00C22310">
      <w:pPr>
        <w:ind w:left="2160" w:hanging="1440"/>
        <w:rPr>
          <w:sz w:val="20"/>
          <w:szCs w:val="20"/>
        </w:rPr>
      </w:pPr>
      <w:r>
        <w:rPr>
          <w:sz w:val="20"/>
          <w:szCs w:val="20"/>
        </w:rPr>
        <w:t>Sept 27: “Notes Upon a Case of Obsessional Neurosis” (“Rat Man”), 309-350“From the History of an Infantile Neurosis” (“Wolf Man”), 400-26</w:t>
      </w:r>
    </w:p>
    <w:p w:rsidR="00C22310" w:rsidRDefault="00C22310" w:rsidP="00C22310">
      <w:pPr>
        <w:ind w:left="2880" w:hanging="2160"/>
        <w:rPr>
          <w:sz w:val="20"/>
          <w:szCs w:val="20"/>
        </w:rPr>
      </w:pPr>
    </w:p>
    <w:p w:rsidR="00C22310" w:rsidRDefault="00C22310" w:rsidP="00C22310">
      <w:pPr>
        <w:ind w:left="2880" w:hanging="2160"/>
        <w:rPr>
          <w:sz w:val="20"/>
          <w:szCs w:val="20"/>
        </w:rPr>
      </w:pPr>
      <w:r>
        <w:rPr>
          <w:sz w:val="20"/>
          <w:szCs w:val="20"/>
        </w:rPr>
        <w:t>Sept 29: “Turn of the Screw”</w:t>
      </w:r>
    </w:p>
    <w:p w:rsidR="00C22310" w:rsidRDefault="00C22310" w:rsidP="00C22310">
      <w:pPr>
        <w:ind w:left="720"/>
        <w:rPr>
          <w:sz w:val="20"/>
          <w:szCs w:val="20"/>
        </w:rPr>
      </w:pPr>
    </w:p>
    <w:p w:rsidR="00C22310" w:rsidRDefault="00C22310" w:rsidP="00C22310">
      <w:pPr>
        <w:ind w:left="720"/>
        <w:rPr>
          <w:sz w:val="20"/>
          <w:szCs w:val="20"/>
        </w:rPr>
      </w:pPr>
      <w:r>
        <w:rPr>
          <w:sz w:val="20"/>
          <w:szCs w:val="20"/>
        </w:rPr>
        <w:t>Oct 4: “The Theme of the Three Caskets,” 514-22</w:t>
      </w:r>
    </w:p>
    <w:p w:rsidR="00C22310" w:rsidRDefault="00C22310" w:rsidP="00C22310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“On Narcissism: An Introduction,” 545-61</w:t>
      </w:r>
    </w:p>
    <w:p w:rsidR="00C22310" w:rsidRDefault="00C22310" w:rsidP="00C22310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 “Repression,” 568-71</w:t>
      </w:r>
    </w:p>
    <w:p w:rsidR="00C22310" w:rsidRDefault="00C22310" w:rsidP="00C22310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“The Unconscious,” 572-83</w:t>
      </w:r>
    </w:p>
    <w:p w:rsidR="00C22310" w:rsidRDefault="00C22310" w:rsidP="00C22310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“Mourning and Melancholia,” 584-88</w:t>
      </w:r>
    </w:p>
    <w:p w:rsidR="00C22310" w:rsidRDefault="00C22310" w:rsidP="00C22310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“The Dissolution of the Oedipus Complex,” 661-65</w:t>
      </w:r>
    </w:p>
    <w:p w:rsidR="00C22310" w:rsidRDefault="00C22310" w:rsidP="00C22310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Auden, “Spain”</w:t>
      </w:r>
      <w:r>
        <w:rPr>
          <w:sz w:val="20"/>
          <w:szCs w:val="20"/>
        </w:rPr>
        <w:tab/>
      </w:r>
    </w:p>
    <w:p w:rsidR="00C22310" w:rsidRDefault="00C22310" w:rsidP="00C22310">
      <w:pPr>
        <w:ind w:firstLine="720"/>
        <w:rPr>
          <w:sz w:val="20"/>
          <w:szCs w:val="20"/>
        </w:rPr>
      </w:pPr>
    </w:p>
    <w:p w:rsidR="00C22310" w:rsidRDefault="00C22310" w:rsidP="00C22310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Oct 6: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Civilization and Its Discontents</w:t>
      </w:r>
      <w:r>
        <w:rPr>
          <w:sz w:val="20"/>
          <w:szCs w:val="20"/>
        </w:rPr>
        <w:t>, 722-71</w:t>
      </w:r>
    </w:p>
    <w:p w:rsidR="00C22310" w:rsidRDefault="00C22310" w:rsidP="00C22310">
      <w:pPr>
        <w:rPr>
          <w:sz w:val="20"/>
          <w:szCs w:val="20"/>
        </w:rPr>
      </w:pPr>
    </w:p>
    <w:p w:rsidR="00C22310" w:rsidRDefault="00C22310" w:rsidP="00C22310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Kafka</w:t>
      </w:r>
    </w:p>
    <w:p w:rsidR="00C22310" w:rsidRDefault="00C22310" w:rsidP="00C22310">
      <w:pPr>
        <w:rPr>
          <w:sz w:val="20"/>
          <w:szCs w:val="20"/>
        </w:rPr>
      </w:pPr>
    </w:p>
    <w:p w:rsidR="00C22310" w:rsidRDefault="00C22310" w:rsidP="00C22310">
      <w:pPr>
        <w:ind w:left="2160" w:hanging="1440"/>
        <w:rPr>
          <w:sz w:val="20"/>
          <w:szCs w:val="20"/>
        </w:rPr>
      </w:pPr>
      <w:r>
        <w:rPr>
          <w:sz w:val="20"/>
          <w:szCs w:val="20"/>
        </w:rPr>
        <w:t xml:space="preserve">Oct 11 &amp; 13: From </w:t>
      </w:r>
      <w:r>
        <w:rPr>
          <w:sz w:val="20"/>
          <w:szCs w:val="20"/>
          <w:u w:val="single"/>
        </w:rPr>
        <w:t>Contemplation</w:t>
      </w:r>
      <w:r>
        <w:rPr>
          <w:sz w:val="20"/>
          <w:szCs w:val="20"/>
        </w:rPr>
        <w:t xml:space="preserve">; “The Judgment,” </w:t>
      </w:r>
      <w:r>
        <w:rPr>
          <w:sz w:val="20"/>
          <w:szCs w:val="20"/>
          <w:u w:val="single"/>
        </w:rPr>
        <w:t>Letter to his Father</w:t>
      </w:r>
      <w:r>
        <w:rPr>
          <w:sz w:val="20"/>
          <w:szCs w:val="20"/>
        </w:rPr>
        <w:t>; Borges, “</w:t>
      </w:r>
      <w:r>
        <w:rPr>
          <w:rFonts w:eastAsiaTheme="minorEastAsia" w:cs="Arial"/>
          <w:color w:val="191919"/>
          <w:sz w:val="20"/>
          <w:szCs w:val="20"/>
        </w:rPr>
        <w:t xml:space="preserve">Kafka and His Precursors” </w:t>
      </w:r>
      <w:r>
        <w:rPr>
          <w:sz w:val="20"/>
          <w:szCs w:val="20"/>
        </w:rPr>
        <w:t>(Sakai)</w:t>
      </w:r>
    </w:p>
    <w:p w:rsidR="00C22310" w:rsidRDefault="00C22310" w:rsidP="00C22310">
      <w:pPr>
        <w:ind w:left="1440" w:hanging="720"/>
        <w:rPr>
          <w:sz w:val="20"/>
          <w:szCs w:val="20"/>
        </w:rPr>
      </w:pPr>
      <w:r>
        <w:rPr>
          <w:sz w:val="20"/>
          <w:szCs w:val="20"/>
        </w:rPr>
        <w:t>Add K’s Aphorisms?</w:t>
      </w:r>
    </w:p>
    <w:p w:rsidR="00C22310" w:rsidRDefault="00C22310" w:rsidP="00C22310">
      <w:pPr>
        <w:ind w:left="1440" w:hanging="720"/>
        <w:rPr>
          <w:sz w:val="20"/>
          <w:szCs w:val="20"/>
        </w:rPr>
      </w:pPr>
    </w:p>
    <w:p w:rsidR="00C22310" w:rsidRDefault="00C22310" w:rsidP="00C22310">
      <w:pPr>
        <w:ind w:left="1440" w:hanging="720"/>
        <w:rPr>
          <w:sz w:val="20"/>
          <w:szCs w:val="20"/>
        </w:rPr>
      </w:pPr>
      <w:r>
        <w:rPr>
          <w:sz w:val="20"/>
          <w:szCs w:val="20"/>
        </w:rPr>
        <w:t>A whole course on Kafka should include “</w:t>
      </w:r>
      <w:r>
        <w:rPr>
          <w:sz w:val="20"/>
          <w:szCs w:val="20"/>
          <w:u w:val="single"/>
        </w:rPr>
        <w:t>Conversations with Kafka</w:t>
      </w:r>
      <w:r>
        <w:rPr>
          <w:sz w:val="20"/>
          <w:szCs w:val="20"/>
        </w:rPr>
        <w:t>”</w:t>
      </w:r>
    </w:p>
    <w:p w:rsidR="00C22310" w:rsidRDefault="00C22310" w:rsidP="00C22310">
      <w:pPr>
        <w:ind w:left="1440" w:hanging="720"/>
        <w:rPr>
          <w:sz w:val="20"/>
          <w:szCs w:val="20"/>
        </w:rPr>
      </w:pPr>
    </w:p>
    <w:p w:rsidR="00C22310" w:rsidRDefault="00C22310" w:rsidP="00C22310">
      <w:pPr>
        <w:spacing w:line="480" w:lineRule="auto"/>
        <w:ind w:left="720"/>
        <w:rPr>
          <w:sz w:val="20"/>
          <w:szCs w:val="20"/>
        </w:rPr>
      </w:pPr>
      <w:r>
        <w:rPr>
          <w:sz w:val="20"/>
          <w:szCs w:val="20"/>
        </w:rPr>
        <w:t>Oct 20 &amp; 25: “The Metamorphosis”</w:t>
      </w:r>
    </w:p>
    <w:p w:rsidR="00C22310" w:rsidRDefault="00C22310" w:rsidP="00C22310">
      <w:pPr>
        <w:spacing w:line="480" w:lineRule="auto"/>
        <w:ind w:left="720"/>
        <w:rPr>
          <w:sz w:val="20"/>
          <w:szCs w:val="20"/>
        </w:rPr>
      </w:pPr>
      <w:r>
        <w:rPr>
          <w:sz w:val="20"/>
          <w:szCs w:val="20"/>
        </w:rPr>
        <w:t>Oct 27: “In the Penal Colony,” “The Stoker”</w:t>
      </w:r>
    </w:p>
    <w:p w:rsidR="00C22310" w:rsidRDefault="00C22310" w:rsidP="00C22310">
      <w:pPr>
        <w:spacing w:line="48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Nov 1 &amp; 3: “On Parables” (Sakai), </w:t>
      </w:r>
      <w:r>
        <w:rPr>
          <w:sz w:val="20"/>
          <w:szCs w:val="20"/>
          <w:u w:val="single"/>
        </w:rPr>
        <w:t>The Trial</w:t>
      </w:r>
      <w:r>
        <w:rPr>
          <w:sz w:val="20"/>
          <w:szCs w:val="20"/>
        </w:rPr>
        <w:t xml:space="preserve">; </w:t>
      </w:r>
    </w:p>
    <w:p w:rsidR="00C22310" w:rsidRDefault="00C22310" w:rsidP="00C22310">
      <w:pPr>
        <w:spacing w:line="480" w:lineRule="auto"/>
        <w:ind w:left="72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Nov 8: “Report to an Academy” (Sakai), “The Great Wall of China” </w:t>
      </w:r>
    </w:p>
    <w:p w:rsidR="00C22310" w:rsidRDefault="00C22310" w:rsidP="00C22310">
      <w:pPr>
        <w:spacing w:line="480" w:lineRule="auto"/>
        <w:ind w:left="720"/>
        <w:rPr>
          <w:sz w:val="20"/>
          <w:szCs w:val="20"/>
        </w:rPr>
      </w:pPr>
      <w:r>
        <w:rPr>
          <w:sz w:val="20"/>
          <w:szCs w:val="20"/>
        </w:rPr>
        <w:t>Nov 10: “The Hunger Artist,” “First Sorrow” (Sakai)</w:t>
      </w:r>
    </w:p>
    <w:p w:rsidR="00C22310" w:rsidRDefault="00C22310" w:rsidP="00C22310">
      <w:pPr>
        <w:spacing w:line="480" w:lineRule="auto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t>Nov 15: “Josephine, the Singer, or The Mouse People”</w:t>
      </w:r>
    </w:p>
    <w:p w:rsidR="00C22310" w:rsidRDefault="00C22310" w:rsidP="00C22310">
      <w:pPr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Musil</w:t>
      </w:r>
      <w:proofErr w:type="spellEnd"/>
    </w:p>
    <w:p w:rsidR="00C22310" w:rsidRDefault="00C22310" w:rsidP="00C22310">
      <w:pPr>
        <w:ind w:left="720"/>
        <w:rPr>
          <w:sz w:val="20"/>
          <w:szCs w:val="20"/>
        </w:rPr>
      </w:pPr>
    </w:p>
    <w:p w:rsidR="00C22310" w:rsidRDefault="00C22310" w:rsidP="00C22310">
      <w:pPr>
        <w:spacing w:line="480" w:lineRule="auto"/>
        <w:ind w:left="72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Nov 17, 22, &amp; 29, Dec 1, 6, &amp; 8: </w:t>
      </w:r>
      <w:r>
        <w:rPr>
          <w:sz w:val="20"/>
          <w:szCs w:val="20"/>
          <w:u w:val="single"/>
        </w:rPr>
        <w:t>The Man Without Qualities</w:t>
      </w:r>
    </w:p>
    <w:p w:rsidR="00C22310" w:rsidRDefault="00C22310" w:rsidP="00C22310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Essays: </w:t>
      </w:r>
    </w:p>
    <w:p w:rsidR="00C22310" w:rsidRDefault="00C22310" w:rsidP="00C22310">
      <w:pPr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1000 words due Friday, </w:t>
      </w:r>
      <w:r>
        <w:rPr>
          <w:b/>
          <w:sz w:val="20"/>
          <w:szCs w:val="20"/>
        </w:rPr>
        <w:t>Sept 30</w:t>
      </w:r>
      <w:r>
        <w:rPr>
          <w:sz w:val="20"/>
          <w:szCs w:val="20"/>
        </w:rPr>
        <w:t xml:space="preserve"> at noon (not overdue till Oct 1 at 5) </w:t>
      </w:r>
    </w:p>
    <w:p w:rsidR="00C22310" w:rsidRDefault="00C22310" w:rsidP="00C22310">
      <w:pPr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4000 words due </w:t>
      </w:r>
      <w:r>
        <w:rPr>
          <w:b/>
          <w:sz w:val="20"/>
          <w:szCs w:val="20"/>
        </w:rPr>
        <w:t>Dec 2</w:t>
      </w:r>
      <w:r>
        <w:rPr>
          <w:sz w:val="20"/>
          <w:szCs w:val="20"/>
        </w:rPr>
        <w:t xml:space="preserve"> at noon (not overdue till Dec 3 at 5)</w:t>
      </w:r>
    </w:p>
    <w:p w:rsidR="00C22310" w:rsidRDefault="00C22310" w:rsidP="00C22310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sz w:val="20"/>
          <w:szCs w:val="20"/>
          <w:u w:val="single"/>
        </w:rPr>
        <w:t>Exception</w:t>
      </w:r>
      <w:r>
        <w:rPr>
          <w:sz w:val="20"/>
          <w:szCs w:val="20"/>
        </w:rPr>
        <w:t xml:space="preserve">: students writing on </w:t>
      </w:r>
      <w:proofErr w:type="spellStart"/>
      <w:r>
        <w:rPr>
          <w:sz w:val="20"/>
          <w:szCs w:val="20"/>
        </w:rPr>
        <w:t>Musil</w:t>
      </w:r>
      <w:proofErr w:type="spellEnd"/>
      <w:r>
        <w:rPr>
          <w:sz w:val="20"/>
          <w:szCs w:val="20"/>
        </w:rPr>
        <w:t xml:space="preserve"> may have until </w:t>
      </w:r>
      <w:r>
        <w:rPr>
          <w:b/>
          <w:sz w:val="20"/>
          <w:szCs w:val="20"/>
        </w:rPr>
        <w:t>Dec 9</w:t>
      </w:r>
      <w:r>
        <w:rPr>
          <w:sz w:val="20"/>
          <w:szCs w:val="20"/>
        </w:rPr>
        <w:t xml:space="preserve"> at noon)</w:t>
      </w:r>
    </w:p>
    <w:p w:rsidR="00C22310" w:rsidRDefault="00C22310" w:rsidP="00C22310">
      <w:pPr>
        <w:ind w:left="720"/>
        <w:rPr>
          <w:b/>
          <w:sz w:val="20"/>
          <w:szCs w:val="20"/>
        </w:rPr>
      </w:pPr>
    </w:p>
    <w:p w:rsidR="00C22310" w:rsidRDefault="00C22310" w:rsidP="00C22310">
      <w:pPr>
        <w:ind w:left="720"/>
        <w:rPr>
          <w:sz w:val="20"/>
          <w:szCs w:val="20"/>
        </w:rPr>
      </w:pPr>
      <w:r>
        <w:rPr>
          <w:b/>
          <w:sz w:val="20"/>
          <w:szCs w:val="20"/>
        </w:rPr>
        <w:t xml:space="preserve">Final Exam: </w:t>
      </w:r>
      <w:r>
        <w:rPr>
          <w:sz w:val="20"/>
          <w:szCs w:val="20"/>
        </w:rPr>
        <w:t>Thursday, Dec 15 at 2:00 PM</w:t>
      </w:r>
    </w:p>
    <w:p w:rsidR="005F2858" w:rsidRDefault="005F2858"/>
    <w:sectPr w:rsidR="005F2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10"/>
    <w:rsid w:val="005F2858"/>
    <w:rsid w:val="00C22310"/>
    <w:rsid w:val="00FB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B3094"/>
  <w15:chartTrackingRefBased/>
  <w15:docId w15:val="{FBF731C3-67C4-43C4-B50A-7F377F3E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310"/>
    <w:pPr>
      <w:overflowPunct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Courier New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22310"/>
    <w:pPr>
      <w:overflowPunct/>
      <w:autoSpaceDE/>
      <w:autoSpaceDN/>
      <w:adjustRightInd/>
      <w:spacing w:before="100" w:beforeAutospacing="1" w:after="100" w:afterAutospacing="1"/>
      <w:outlineLvl w:val="0"/>
    </w:pPr>
    <w:rPr>
      <w:rFonts w:ascii="Times" w:hAnsi="Times" w:cs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310"/>
    <w:rPr>
      <w:rFonts w:ascii="Times" w:eastAsia="Times New Roman" w:hAnsi="Times" w:cs="Times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C22310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semiHidden/>
    <w:unhideWhenUsed/>
    <w:rsid w:val="00C22310"/>
    <w:pPr>
      <w:overflowPunct/>
      <w:autoSpaceDE/>
      <w:autoSpaceDN/>
      <w:adjustRightInd/>
      <w:spacing w:line="480" w:lineRule="auto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22310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DefaultParagraphFont"/>
    <w:rsid w:val="00C22310"/>
  </w:style>
  <w:style w:type="character" w:customStyle="1" w:styleId="a-size-large">
    <w:name w:val="a-size-large"/>
    <w:basedOn w:val="DefaultParagraphFont"/>
    <w:rsid w:val="00C22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azon.com/Franz-Kafka/e/B002DPABLS/ref=dp_byline_cont_book_1" TargetMode="External"/><Relationship Id="rId5" Type="http://schemas.openxmlformats.org/officeDocument/2006/relationships/hyperlink" Target="https://www.amazon.com/s/ref=dp_byline_sr_book_2?ie=UTF8&amp;text=Andrew+R.+MacAndrew&amp;search-alias=books&amp;field-author=Andrew+R.+MacAndrew&amp;sort=relevancerank" TargetMode="External"/><Relationship Id="rId4" Type="http://schemas.openxmlformats.org/officeDocument/2006/relationships/hyperlink" Target="https://www.amazon.com/Fyodor-Dostoyevsky/e/B000APYSC6/ref=dp_byline_cont_book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648</Words>
  <Characters>3695</Characters>
  <Application>Microsoft Office Word</Application>
  <DocSecurity>0</DocSecurity>
  <Lines>30</Lines>
  <Paragraphs>8</Paragraphs>
  <ScaleCrop>false</ScaleCrop>
  <Company>Claremont McKenna College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- Local User</dc:creator>
  <cp:keywords/>
  <dc:description/>
  <cp:lastModifiedBy>John - Local User</cp:lastModifiedBy>
  <cp:revision>2</cp:revision>
  <dcterms:created xsi:type="dcterms:W3CDTF">2018-07-21T16:06:00Z</dcterms:created>
  <dcterms:modified xsi:type="dcterms:W3CDTF">2018-07-21T16:07:00Z</dcterms:modified>
</cp:coreProperties>
</file>